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782F8B" w:rsidRPr="00782F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71750" cy="1524000"/>
                  <wp:effectExtent l="19050" t="0" r="0" b="0"/>
                  <wp:docPr id="1" name="Imagen 1" descr="Paradisus Playa Conch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adisus Playa Conch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Paradisus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Playa Conchal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la provincia de Guanacaste al noroeste del país, limitando con el Océano Pacifico. Hoy día los visitantes pueden adquirir alfarería de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Guaitil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Santa Cruz, hecha de la misma forma tradicional que lo hacía los antiguos Chorotegas, raza indígena ancestral de esta tierras  y además se pueden tomar lecciones de alfarería de los artesanos locales.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762125"/>
                  <wp:effectExtent l="19050" t="0" r="0" b="0"/>
                  <wp:docPr id="2" name="Imagen 2" descr="http://www.conozcacostarica.com/images/melia_conchal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elia_conchal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628775"/>
                  <wp:effectExtent l="19050" t="0" r="0" b="0"/>
                  <wp:docPr id="3" name="Imagen 3" descr="http://www.conozcacostarica.com/images/melia_conchal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elia_conchal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 área es reconocida por sus playas espectaculares. Conchal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considerada por muchos como la playa de arenas blancas más bella de Costa Rica.</w:t>
            </w:r>
          </w:p>
          <w:p w:rsidR="00782F8B" w:rsidRPr="00782F8B" w:rsidRDefault="00782F8B" w:rsidP="00782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Paradisus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Playa Conchal es el más grande y opulento resort en el país, ofreciendo el más elevado y distinguido servicio.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Desde el momento en que usted se registra, puede estar seguro de que ha entrado a un mundo colmado de privilegios. El resort se asemeja a una elegante villa, con sus villas, habitaciones y facilidades enfocadas hacia la impresionante alberca de forma libre. Las arenas blancas de Conchal están a solo unos pasos de su puerta, al igual que su campo de golf profesional.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543050"/>
                  <wp:effectExtent l="19050" t="0" r="0" b="0"/>
                  <wp:docPr id="4" name="Imagen 4" descr="http://www.conozcacostarica.com/images/meliaconcha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eliaconcha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457450" cy="1638300"/>
                  <wp:effectExtent l="19050" t="0" r="0" b="0"/>
                  <wp:docPr id="5" name="Imagen 5" descr="http://www.conozcacostarica.com/images/melia_conchal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elia_conchal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concebible comodidad es suya, para su disfrute, en un lugar que se encuentra entre los más bellos del mundo. Este cautivante resort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a solo  45 minutos del Aeropuerto Internacional de Guanacaste y a 15 minutos del aeropuerto local. Asentado entre los pueblos de Tamarindo y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Flamingo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Paradisus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Playa Conchal esta a cuatro horas por un camino panorámico hermoso, de la ciudad capital, San José.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308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lujo, suites y dos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suites. Las suites están situadas en 39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privados de dos niveles, cada uno con ocho suites. Todas las suites </w:t>
            </w:r>
            <w:proofErr w:type="gram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tiene</w:t>
            </w:r>
            <w:proofErr w:type="gram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espaciosa terraza, sala muy elegante, aire acondicionado, baño de lujo, TV a color vía satélite, teléfono IDD, mini bar lleno, abanicos de techo, secadora de cabello, y caja de seguridad. Y por supuesto, servicio de habitación con una gran variedad de aperitivos y alimentos según su hora.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743075"/>
                  <wp:effectExtent l="19050" t="0" r="0" b="0"/>
                  <wp:docPr id="6" name="Imagen 6" descr="http://www.conozcacostarica.com/images/meliaconchal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eliaconchal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581275" cy="1676400"/>
                  <wp:effectExtent l="19050" t="0" r="9525" b="0"/>
                  <wp:docPr id="7" name="Imagen 7" descr="http://www.conozcacostarica.com/images/meliaconchal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meliaconchal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 usted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acostumbrado a estándares de servicio y lujo de clase mundial, entonces se sentirá bien en el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Paradisus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Playa Conchal. Su personal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completamente entrenado, para brindarle un servicio de clase que simplemente no puede ser igualado por algún otro resort sobre la tierra. La atmósfera es encantadora relajante y casual. </w:t>
            </w:r>
            <w:proofErr w:type="spellStart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Paradisus</w:t>
            </w:r>
            <w:proofErr w:type="spellEnd"/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Playa Conchal combina lo mejor de ambos mundos, servicio distinguido y elegancia informal.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F8B" w:rsidRPr="00782F8B" w:rsidRDefault="00782F8B" w:rsidP="00782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782F8B" w:rsidRPr="00782F8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2F8B" w:rsidRPr="00782F8B" w:rsidRDefault="00782F8B" w:rsidP="00782F8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782F8B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t>TARIFAS 2010</w:t>
            </w:r>
            <w:r w:rsidRPr="00782F8B">
              <w:rPr>
                <w:rFonts w:ascii="Trebuchet MS" w:eastAsia="Times New Roman" w:hAnsi="Trebuchet MS" w:cs="Times New Roman"/>
                <w:b/>
                <w:bCs/>
                <w:color w:val="0066CC"/>
                <w:kern w:val="36"/>
                <w:sz w:val="45"/>
                <w:szCs w:val="45"/>
                <w:lang w:eastAsia="es-CR"/>
              </w:rPr>
              <w:br/>
              <w:t>"Todo Incluido"</w:t>
            </w:r>
          </w:p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689"/>
              <w:gridCol w:w="1614"/>
              <w:gridCol w:w="1614"/>
              <w:gridCol w:w="1613"/>
              <w:gridCol w:w="1620"/>
            </w:tblGrid>
            <w:tr w:rsidR="00782F8B" w:rsidRPr="00782F8B">
              <w:trPr>
                <w:tblCellSpacing w:w="7" w:type="dxa"/>
              </w:trPr>
              <w:tc>
                <w:tcPr>
                  <w:tcW w:w="1250" w:type="pct"/>
                  <w:shd w:val="clear" w:color="auto" w:fill="003366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750" w:type="pct"/>
                  <w:shd w:val="clear" w:color="auto" w:fill="003366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Ene. 02 a </w:t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Abr. 04</w:t>
                  </w:r>
                </w:p>
              </w:tc>
              <w:tc>
                <w:tcPr>
                  <w:tcW w:w="750" w:type="pct"/>
                  <w:shd w:val="clear" w:color="auto" w:fill="003366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Abr. 05 a </w:t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Ago. 31</w:t>
                  </w:r>
                </w:p>
              </w:tc>
              <w:tc>
                <w:tcPr>
                  <w:tcW w:w="750" w:type="pct"/>
                  <w:shd w:val="clear" w:color="auto" w:fill="003366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Set. 01 a </w:t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Oct. 31</w:t>
                  </w:r>
                </w:p>
              </w:tc>
              <w:tc>
                <w:tcPr>
                  <w:tcW w:w="750" w:type="pct"/>
                  <w:shd w:val="clear" w:color="auto" w:fill="003366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Nov. 01 a </w:t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21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006600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DELUXE GARDEN JUNIOR SUITE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$319.00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$239.00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$225.00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$239.00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$412.00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$332.00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$319.00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$332.00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$239.00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$179.00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$169.00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$179.00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$119.00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$113.00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$119.00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FF9966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FAMILY CONCIERGE 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$412.00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$292.00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$305.00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$505.00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$399.00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$385.00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$399.00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$229.00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$219.00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$229.00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$206.00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$153.00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$146.00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$153.50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006699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 </w:t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val="en-US" w:eastAsia="es-CR"/>
                    </w:rPr>
                    <w:t>ROYAL SERVICE REGAL JUNIOR SUITE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$412.00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$292.00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$305.00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$505.00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$399.00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$385.00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$399.00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$229.00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$219.00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$229.00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003366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val="en-US" w:eastAsia="es-CR"/>
                    </w:rPr>
                    <w:t>ROYAL SERVICE IMPERIAL ROMANCE BALI STE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$545.00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$412.00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$399.00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$412.00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$639.00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$505.00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$492.00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$505.00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$409.00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$299.00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$309.00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990000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val="en-US" w:eastAsia="es-CR"/>
                    </w:rPr>
                    <w:t> ROYAL SERVICE ONE BEDROOM JACUZZI SUITE 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$692.00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$545.00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$532.00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$545.00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$785.00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$639.00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$625.00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$639.00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$519.00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$409.00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$399.00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$409.00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gridSpan w:val="5"/>
                  <w:shd w:val="clear" w:color="auto" w:fill="FF9933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 </w:t>
                  </w:r>
                  <w:r w:rsidRPr="00782F8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ROYAL SERVICE PRESIDENTIAL SUITE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$932.00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$679.00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$665.00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$679.00 </w:t>
                  </w:r>
                </w:p>
              </w:tc>
            </w:tr>
            <w:tr w:rsidR="00782F8B" w:rsidRPr="00782F8B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$1,864.00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$1,357.00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$1,331.00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82F8B" w:rsidRPr="00782F8B" w:rsidRDefault="00782F8B" w:rsidP="00782F8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782F8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$1,357.00 </w:t>
                  </w:r>
                </w:p>
              </w:tc>
            </w:tr>
          </w:tbl>
          <w:p w:rsidR="00782F8B" w:rsidRPr="00782F8B" w:rsidRDefault="00782F8B" w:rsidP="00782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782F8B" w:rsidRPr="00782F8B" w:rsidRDefault="00782F8B" w:rsidP="00782F8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persona por noche e incluyen impuestos y propinas.</w:t>
            </w: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782F8B" w:rsidRPr="00782F8B" w:rsidRDefault="00782F8B" w:rsidP="00782F8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782F8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son en EUA$ dólares</w:t>
            </w:r>
            <w:r w:rsidRPr="00782F8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E7F67"/>
    <w:multiLevelType w:val="multilevel"/>
    <w:tmpl w:val="C8C83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82F8B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118C2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2F8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782F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2F8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782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782F8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2F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2010-08-10T16:15:00Z</dcterms:created>
  <dcterms:modified xsi:type="dcterms:W3CDTF">2010-08-10T16:17:00Z</dcterms:modified>
</cp:coreProperties>
</file>