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296E3E" w:rsidRPr="00296E3E">
        <w:trPr>
          <w:tblCellSpacing w:w="15" w:type="dxa"/>
          <w:jc w:val="center"/>
        </w:trPr>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296E3E" w:rsidRPr="00296E3E" w:rsidRDefault="00296E3E" w:rsidP="00296E3E">
            <w:pPr>
              <w:spacing w:after="0" w:line="240" w:lineRule="auto"/>
              <w:jc w:val="right"/>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bl>
    <w:p w:rsidR="00296E3E" w:rsidRPr="00296E3E" w:rsidRDefault="00296E3E" w:rsidP="00296E3E">
      <w:pPr>
        <w:spacing w:after="0" w:line="240" w:lineRule="auto"/>
        <w:rPr>
          <w:rFonts w:ascii="Times New Roman" w:eastAsia="Times New Roman" w:hAnsi="Times New Roman" w:cs="Times New Roman"/>
          <w:vanish/>
          <w:sz w:val="24"/>
          <w:szCs w:val="24"/>
          <w:lang w:eastAsia="es-CR"/>
        </w:rPr>
      </w:pPr>
    </w:p>
    <w:tbl>
      <w:tblPr>
        <w:tblW w:w="8985" w:type="dxa"/>
        <w:jc w:val="center"/>
        <w:tblCellSpacing w:w="15" w:type="dxa"/>
        <w:tblCellMar>
          <w:top w:w="30" w:type="dxa"/>
          <w:left w:w="30" w:type="dxa"/>
          <w:bottom w:w="30" w:type="dxa"/>
          <w:right w:w="30" w:type="dxa"/>
        </w:tblCellMar>
        <w:tblLook w:val="04A0"/>
      </w:tblPr>
      <w:tblGrid>
        <w:gridCol w:w="4605"/>
        <w:gridCol w:w="4605"/>
      </w:tblGrid>
      <w:tr w:rsidR="00296E3E" w:rsidRPr="00296E3E">
        <w:trPr>
          <w:tblCellSpacing w:w="15" w:type="dxa"/>
          <w:jc w:val="center"/>
        </w:trPr>
        <w:tc>
          <w:tcPr>
            <w:tcW w:w="0" w:type="auto"/>
            <w:gridSpan w:val="2"/>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24075" cy="1162050"/>
                  <wp:effectExtent l="19050" t="0" r="9525" b="0"/>
                  <wp:docPr id="1" name="Imagen 1" descr="Apartotel Cola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otel Colaye"/>
                          <pic:cNvPicPr>
                            <a:picLocks noChangeAspect="1" noChangeArrowheads="1"/>
                          </pic:cNvPicPr>
                        </pic:nvPicPr>
                        <pic:blipFill>
                          <a:blip r:embed="rId5" cstate="print"/>
                          <a:srcRect/>
                          <a:stretch>
                            <a:fillRect/>
                          </a:stretch>
                        </pic:blipFill>
                        <pic:spPr bwMode="auto">
                          <a:xfrm>
                            <a:off x="0" y="0"/>
                            <a:ext cx="2124075" cy="1162050"/>
                          </a:xfrm>
                          <a:prstGeom prst="rect">
                            <a:avLst/>
                          </a:prstGeom>
                          <a:noFill/>
                          <a:ln w="9525">
                            <a:noFill/>
                            <a:miter lim="800000"/>
                            <a:headEnd/>
                            <a:tailEnd/>
                          </a:ln>
                        </pic:spPr>
                      </pic:pic>
                    </a:graphicData>
                  </a:graphic>
                </wp:inline>
              </w:drawing>
            </w:r>
          </w:p>
        </w:tc>
      </w:tr>
      <w:tr w:rsidR="00296E3E" w:rsidRPr="00296E3E">
        <w:trPr>
          <w:tblCellSpacing w:w="15" w:type="dxa"/>
          <w:jc w:val="center"/>
        </w:trPr>
        <w:tc>
          <w:tcPr>
            <w:tcW w:w="2500" w:type="pct"/>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2500" w:type="pct"/>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colaye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olaye_front.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Un  nuevo concepto de hospedaje de calidad, con comodidades necesarias para el turista y visitante de la cuidad capital.</w:t>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vAlign w:val="center"/>
            <w:hideMark/>
          </w:tcPr>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296E3E">
              <w:rPr>
                <w:rFonts w:ascii="Verdana" w:eastAsia="Times New Roman" w:hAnsi="Verdana" w:cs="Times New Roman"/>
                <w:sz w:val="20"/>
                <w:szCs w:val="20"/>
                <w:lang w:eastAsia="es-CR"/>
              </w:rPr>
              <w:t>Colaye</w:t>
            </w:r>
            <w:proofErr w:type="spellEnd"/>
            <w:r w:rsidRPr="00296E3E">
              <w:rPr>
                <w:rFonts w:ascii="Verdana" w:eastAsia="Times New Roman" w:hAnsi="Verdana" w:cs="Times New Roman"/>
                <w:sz w:val="20"/>
                <w:szCs w:val="20"/>
                <w:lang w:eastAsia="es-CR"/>
              </w:rPr>
              <w:t xml:space="preserve"> San José es el lugar ideal por su ubicación y servicios. Nuestra intención a corto plazo es convertirnos en un establecimiento de hospedaje de máxima calidad, que pretendemos alcanzar por medio de las remodelaciones, que actualmente realizamos, con la finalidad de alcanzar la máxima calidad y el mejor servicio a nuestros huéspedes y visitantes.</w:t>
            </w:r>
          </w:p>
        </w:tc>
        <w:tc>
          <w:tcPr>
            <w:tcW w:w="0" w:type="auto"/>
            <w:vAlign w:val="center"/>
            <w:hideMark/>
          </w:tcPr>
          <w:p w:rsidR="00296E3E" w:rsidRPr="00296E3E" w:rsidRDefault="00296E3E" w:rsidP="00296E3E">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colaye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olaye_pool.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colaye_front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olaye_frontdesk.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Nuestras ventajas comparativas con hoteles ubicados en la capital, es que siendo parte de ella nos encontramos en una zona mucho más segura y cerca de atractiva, y servicios públicos y privados como: bancos y oficinas gubernamentales.</w:t>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vAlign w:val="center"/>
            <w:hideMark/>
          </w:tcPr>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296E3E">
              <w:rPr>
                <w:rFonts w:ascii="Verdana" w:eastAsia="Times New Roman" w:hAnsi="Verdana" w:cs="Times New Roman"/>
                <w:sz w:val="20"/>
                <w:szCs w:val="20"/>
                <w:lang w:eastAsia="es-CR"/>
              </w:rPr>
              <w:lastRenderedPageBreak/>
              <w:t>Colaye</w:t>
            </w:r>
            <w:proofErr w:type="spellEnd"/>
            <w:r w:rsidRPr="00296E3E">
              <w:rPr>
                <w:rFonts w:ascii="Verdana" w:eastAsia="Times New Roman" w:hAnsi="Verdana" w:cs="Times New Roman"/>
                <w:sz w:val="20"/>
                <w:szCs w:val="20"/>
                <w:lang w:eastAsia="es-CR"/>
              </w:rPr>
              <w:t xml:space="preserve"> San José fue adquirido recientemente por el grupo </w:t>
            </w:r>
            <w:r w:rsidRPr="00296E3E">
              <w:rPr>
                <w:rFonts w:ascii="Verdana" w:eastAsia="Times New Roman" w:hAnsi="Verdana" w:cs="Times New Roman"/>
                <w:b/>
                <w:bCs/>
                <w:sz w:val="20"/>
                <w:lang w:eastAsia="es-CR"/>
              </w:rPr>
              <w:t xml:space="preserve">KC </w:t>
            </w:r>
            <w:proofErr w:type="spellStart"/>
            <w:r w:rsidRPr="00296E3E">
              <w:rPr>
                <w:rFonts w:ascii="Verdana" w:eastAsia="Times New Roman" w:hAnsi="Verdana" w:cs="Times New Roman"/>
                <w:b/>
                <w:bCs/>
                <w:sz w:val="20"/>
                <w:lang w:eastAsia="es-CR"/>
              </w:rPr>
              <w:t>Hotels</w:t>
            </w:r>
            <w:proofErr w:type="spellEnd"/>
            <w:r w:rsidRPr="00296E3E">
              <w:rPr>
                <w:rFonts w:ascii="Verdana" w:eastAsia="Times New Roman" w:hAnsi="Verdana" w:cs="Times New Roman"/>
                <w:b/>
                <w:bCs/>
                <w:sz w:val="20"/>
                <w:lang w:eastAsia="es-CR"/>
              </w:rPr>
              <w:t xml:space="preserve"> &amp; RESORT</w:t>
            </w:r>
            <w:r w:rsidRPr="00296E3E">
              <w:rPr>
                <w:rFonts w:ascii="Verdana" w:eastAsia="Times New Roman" w:hAnsi="Verdana" w:cs="Times New Roman"/>
                <w:sz w:val="20"/>
                <w:szCs w:val="20"/>
                <w:lang w:eastAsia="es-CR"/>
              </w:rPr>
              <w:t>, un grupo inmobiliario que mezcla entre sus propiedades los más altos estándares de calidad y servicio.</w:t>
            </w:r>
          </w:p>
        </w:tc>
        <w:tc>
          <w:tcPr>
            <w:tcW w:w="0" w:type="auto"/>
            <w:vAlign w:val="center"/>
            <w:hideMark/>
          </w:tcPr>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colaye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olaye_standard.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colaye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olaye_view2.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proofErr w:type="spellStart"/>
            <w:r w:rsidRPr="00296E3E">
              <w:rPr>
                <w:rFonts w:ascii="Verdana" w:eastAsia="Times New Roman" w:hAnsi="Verdana" w:cs="Times New Roman"/>
                <w:sz w:val="20"/>
                <w:szCs w:val="20"/>
                <w:lang w:eastAsia="es-CR"/>
              </w:rPr>
              <w:t>Colaye</w:t>
            </w:r>
            <w:proofErr w:type="spellEnd"/>
            <w:r w:rsidRPr="00296E3E">
              <w:rPr>
                <w:rFonts w:ascii="Verdana" w:eastAsia="Times New Roman" w:hAnsi="Verdana" w:cs="Times New Roman"/>
                <w:sz w:val="20"/>
                <w:szCs w:val="20"/>
                <w:lang w:eastAsia="es-CR"/>
              </w:rPr>
              <w:t xml:space="preserve"> San José se conforma de 60 unidades habitacionales entre habitaciones tipo estándar, </w:t>
            </w:r>
            <w:proofErr w:type="spellStart"/>
            <w:r w:rsidRPr="00296E3E">
              <w:rPr>
                <w:rFonts w:ascii="Verdana" w:eastAsia="Times New Roman" w:hAnsi="Verdana" w:cs="Times New Roman"/>
                <w:sz w:val="20"/>
                <w:szCs w:val="20"/>
                <w:lang w:eastAsia="es-CR"/>
              </w:rPr>
              <w:t>studio</w:t>
            </w:r>
            <w:proofErr w:type="spellEnd"/>
            <w:r w:rsidRPr="00296E3E">
              <w:rPr>
                <w:rFonts w:ascii="Verdana" w:eastAsia="Times New Roman" w:hAnsi="Verdana" w:cs="Times New Roman"/>
                <w:sz w:val="20"/>
                <w:szCs w:val="20"/>
                <w:lang w:eastAsia="es-CR"/>
              </w:rPr>
              <w:t xml:space="preserve"> y apartamentos, servicio de conexión Internet inalámbrica, televisión por  cable, teléfono, ducha, agua caliente.</w:t>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 xml:space="preserve">Grandes apartamentos con dos dormitorios separados y totalmente </w:t>
            </w:r>
            <w:proofErr w:type="spellStart"/>
            <w:r w:rsidRPr="00296E3E">
              <w:rPr>
                <w:rFonts w:ascii="Verdana" w:eastAsia="Times New Roman" w:hAnsi="Verdana" w:cs="Times New Roman"/>
                <w:sz w:val="20"/>
                <w:szCs w:val="20"/>
                <w:lang w:eastAsia="es-CR"/>
              </w:rPr>
              <w:t>equipadoscon</w:t>
            </w:r>
            <w:proofErr w:type="spellEnd"/>
            <w:r w:rsidRPr="00296E3E">
              <w:rPr>
                <w:rFonts w:ascii="Verdana" w:eastAsia="Times New Roman" w:hAnsi="Verdana" w:cs="Times New Roman"/>
                <w:sz w:val="20"/>
                <w:szCs w:val="20"/>
                <w:lang w:eastAsia="es-CR"/>
              </w:rPr>
              <w:t xml:space="preserve"> cocina, cafetera automática (</w:t>
            </w:r>
            <w:proofErr w:type="spellStart"/>
            <w:r w:rsidRPr="00296E3E">
              <w:rPr>
                <w:rFonts w:ascii="Verdana" w:eastAsia="Times New Roman" w:hAnsi="Verdana" w:cs="Times New Roman"/>
                <w:sz w:val="20"/>
                <w:szCs w:val="20"/>
                <w:lang w:eastAsia="es-CR"/>
              </w:rPr>
              <w:t>coffee</w:t>
            </w:r>
            <w:proofErr w:type="spellEnd"/>
            <w:r w:rsidRPr="00296E3E">
              <w:rPr>
                <w:rFonts w:ascii="Verdana" w:eastAsia="Times New Roman" w:hAnsi="Verdana" w:cs="Times New Roman"/>
                <w:sz w:val="20"/>
                <w:szCs w:val="20"/>
                <w:lang w:eastAsia="es-CR"/>
              </w:rPr>
              <w:t xml:space="preserve"> </w:t>
            </w:r>
            <w:proofErr w:type="spellStart"/>
            <w:r w:rsidRPr="00296E3E">
              <w:rPr>
                <w:rFonts w:ascii="Verdana" w:eastAsia="Times New Roman" w:hAnsi="Verdana" w:cs="Times New Roman"/>
                <w:sz w:val="20"/>
                <w:szCs w:val="20"/>
                <w:lang w:eastAsia="es-CR"/>
              </w:rPr>
              <w:t>maker</w:t>
            </w:r>
            <w:proofErr w:type="spellEnd"/>
            <w:r w:rsidRPr="00296E3E">
              <w:rPr>
                <w:rFonts w:ascii="Verdana" w:eastAsia="Times New Roman" w:hAnsi="Verdana" w:cs="Times New Roman"/>
                <w:sz w:val="20"/>
                <w:szCs w:val="20"/>
                <w:lang w:eastAsia="es-CR"/>
              </w:rPr>
              <w:t>), refrigerador, microondas, TV por satélite, teléfono, baño privado con agua caliente. Estos son perfectos para largas estadías con su familia y le harán sentirse como en casa.</w:t>
            </w:r>
          </w:p>
        </w:tc>
        <w:tc>
          <w:tcPr>
            <w:tcW w:w="0" w:type="auto"/>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colaye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colaye_view3.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c>
          <w:tcPr>
            <w:tcW w:w="0" w:type="auto"/>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Times New Roman" w:eastAsia="Times New Roman" w:hAnsi="Times New Roman" w:cs="Times New Roman"/>
                <w:sz w:val="24"/>
                <w:szCs w:val="24"/>
                <w:lang w:eastAsia="es-CR"/>
              </w:rPr>
              <w:t> </w:t>
            </w:r>
          </w:p>
        </w:tc>
      </w:tr>
      <w:tr w:rsidR="00296E3E" w:rsidRPr="00296E3E">
        <w:trPr>
          <w:tblCellSpacing w:w="15" w:type="dxa"/>
          <w:jc w:val="center"/>
        </w:trPr>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Arial" w:eastAsia="Times New Roman" w:hAnsi="Arial" w:cs="Arial"/>
                <w:b/>
                <w:bCs/>
                <w:color w:val="004080"/>
                <w:sz w:val="24"/>
                <w:szCs w:val="24"/>
                <w:lang w:eastAsia="es-CR"/>
              </w:rPr>
              <w:t>Ubicación:</w:t>
            </w:r>
          </w:p>
        </w:tc>
        <w:tc>
          <w:tcPr>
            <w:tcW w:w="0" w:type="auto"/>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Arial" w:eastAsia="Times New Roman" w:hAnsi="Arial" w:cs="Arial"/>
                <w:b/>
                <w:bCs/>
                <w:color w:val="004080"/>
                <w:sz w:val="24"/>
                <w:szCs w:val="24"/>
                <w:lang w:eastAsia="es-CR"/>
              </w:rPr>
              <w:t>Instalaciones y servicios:</w:t>
            </w:r>
          </w:p>
        </w:tc>
      </w:tr>
      <w:tr w:rsidR="00296E3E" w:rsidRPr="00296E3E">
        <w:trPr>
          <w:tblCellSpacing w:w="15" w:type="dxa"/>
          <w:jc w:val="center"/>
        </w:trPr>
        <w:tc>
          <w:tcPr>
            <w:tcW w:w="0" w:type="auto"/>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409825" cy="2381250"/>
                  <wp:effectExtent l="19050" t="0" r="9525" b="0"/>
                  <wp:docPr id="8" name="Imagen 8" descr="http://www.conozcacostarica.com/images/colay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colaye_map.jpg"/>
                          <pic:cNvPicPr>
                            <a:picLocks noChangeAspect="1" noChangeArrowheads="1"/>
                          </pic:cNvPicPr>
                        </pic:nvPicPr>
                        <pic:blipFill>
                          <a:blip r:embed="rId12" cstate="print"/>
                          <a:srcRect/>
                          <a:stretch>
                            <a:fillRect/>
                          </a:stretch>
                        </pic:blipFill>
                        <pic:spPr bwMode="auto">
                          <a:xfrm>
                            <a:off x="0" y="0"/>
                            <a:ext cx="2409825" cy="2381250"/>
                          </a:xfrm>
                          <a:prstGeom prst="rect">
                            <a:avLst/>
                          </a:prstGeom>
                          <a:noFill/>
                          <a:ln w="9525">
                            <a:noFill/>
                            <a:miter lim="800000"/>
                            <a:headEnd/>
                            <a:tailEnd/>
                          </a:ln>
                        </pic:spPr>
                      </pic:pic>
                    </a:graphicData>
                  </a:graphic>
                </wp:inline>
              </w:drawing>
            </w:r>
          </w:p>
        </w:tc>
        <w:tc>
          <w:tcPr>
            <w:tcW w:w="0" w:type="auto"/>
            <w:hideMark/>
          </w:tcPr>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Estacionamiento privado gratis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Seguridad las 24 horas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Servicio de recepción las 24 horas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Acceso a Internet de alta velocidad</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Servicio de botones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Una gran piscina con mesas y sillas reclinables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Servicio de lavandería</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TV por satélite</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Caja de seguridad</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Área de jardín</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Área de juegos para niños</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Servicio de limpieza diario</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Habitaciones para personas con discapacidades físicas</w:t>
            </w:r>
            <w:r w:rsidRPr="00296E3E">
              <w:rPr>
                <w:rFonts w:ascii="Times New Roman" w:eastAsia="Times New Roman" w:hAnsi="Times New Roman" w:cs="Times New Roman"/>
                <w:sz w:val="24"/>
                <w:szCs w:val="24"/>
                <w:lang w:eastAsia="es-CR"/>
              </w:rPr>
              <w:t xml:space="preserve"> </w:t>
            </w:r>
          </w:p>
        </w:tc>
      </w:tr>
      <w:tr w:rsidR="00296E3E" w:rsidRPr="00296E3E">
        <w:trPr>
          <w:tblCellSpacing w:w="15" w:type="dxa"/>
          <w:jc w:val="center"/>
        </w:trPr>
        <w:tc>
          <w:tcPr>
            <w:tcW w:w="0" w:type="auto"/>
            <w:gridSpan w:val="2"/>
            <w:hideMark/>
          </w:tcPr>
          <w:p w:rsidR="00296E3E" w:rsidRPr="00296E3E" w:rsidRDefault="00296E3E" w:rsidP="00296E3E">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296E3E">
              <w:rPr>
                <w:rFonts w:ascii="Trebuchet MS" w:eastAsia="Times New Roman" w:hAnsi="Trebuchet MS" w:cs="Times New Roman"/>
                <w:b/>
                <w:bCs/>
                <w:color w:val="5A4610"/>
                <w:kern w:val="36"/>
                <w:sz w:val="45"/>
                <w:szCs w:val="45"/>
                <w:lang w:eastAsia="es-CR"/>
              </w:rPr>
              <w:t>TARIFAS 2010</w:t>
            </w:r>
          </w:p>
          <w:tbl>
            <w:tblPr>
              <w:tblW w:w="3150" w:type="pct"/>
              <w:jc w:val="center"/>
              <w:tblCellSpacing w:w="7" w:type="dxa"/>
              <w:shd w:val="clear" w:color="auto" w:fill="CCCC66"/>
              <w:tblCellMar>
                <w:top w:w="30" w:type="dxa"/>
                <w:left w:w="30" w:type="dxa"/>
                <w:bottom w:w="30" w:type="dxa"/>
                <w:right w:w="30" w:type="dxa"/>
              </w:tblCellMar>
              <w:tblLook w:val="04A0"/>
            </w:tblPr>
            <w:tblGrid>
              <w:gridCol w:w="2466"/>
              <w:gridCol w:w="3261"/>
            </w:tblGrid>
            <w:tr w:rsidR="00296E3E" w:rsidRPr="00296E3E">
              <w:trPr>
                <w:tblCellSpacing w:w="7" w:type="dxa"/>
                <w:jc w:val="center"/>
              </w:trPr>
              <w:tc>
                <w:tcPr>
                  <w:tcW w:w="2150" w:type="pct"/>
                  <w:shd w:val="clear" w:color="auto" w:fill="755A14"/>
                  <w:vAlign w:val="center"/>
                  <w:hideMark/>
                </w:tcPr>
                <w:p w:rsidR="00296E3E" w:rsidRPr="00296E3E" w:rsidRDefault="00296E3E" w:rsidP="00296E3E">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color w:val="FFFFFF"/>
                      <w:sz w:val="20"/>
                      <w:lang w:eastAsia="es-CR"/>
                    </w:rPr>
                    <w:t>Descripción</w:t>
                  </w:r>
                </w:p>
              </w:tc>
              <w:tc>
                <w:tcPr>
                  <w:tcW w:w="2850" w:type="pct"/>
                  <w:shd w:val="clear" w:color="auto" w:fill="755A14"/>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color w:val="FFFFFF"/>
                      <w:sz w:val="20"/>
                      <w:lang w:eastAsia="es-CR"/>
                    </w:rPr>
                    <w:t>Sencilla o doble</w:t>
                  </w:r>
                </w:p>
              </w:tc>
            </w:tr>
            <w:tr w:rsidR="00296E3E" w:rsidRPr="00296E3E">
              <w:trPr>
                <w:tblCellSpacing w:w="7" w:type="dxa"/>
                <w:jc w:val="center"/>
              </w:trPr>
              <w:tc>
                <w:tcPr>
                  <w:tcW w:w="0" w:type="auto"/>
                  <w:shd w:val="clear" w:color="auto" w:fill="F8F0DE"/>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Estándar Superior</w:t>
                  </w:r>
                </w:p>
              </w:tc>
              <w:tc>
                <w:tcPr>
                  <w:tcW w:w="0" w:type="auto"/>
                  <w:shd w:val="clear" w:color="auto" w:fill="F8F0DE"/>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$60.00</w:t>
                  </w:r>
                </w:p>
              </w:tc>
            </w:tr>
            <w:tr w:rsidR="00296E3E" w:rsidRPr="00296E3E">
              <w:trPr>
                <w:tblCellSpacing w:w="7" w:type="dxa"/>
                <w:jc w:val="center"/>
              </w:trPr>
              <w:tc>
                <w:tcPr>
                  <w:tcW w:w="0" w:type="auto"/>
                  <w:shd w:val="clear" w:color="auto" w:fill="FFFFFF"/>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Estándar Premium</w:t>
                  </w:r>
                </w:p>
              </w:tc>
              <w:tc>
                <w:tcPr>
                  <w:tcW w:w="0" w:type="auto"/>
                  <w:shd w:val="clear" w:color="auto" w:fill="FFFFFF"/>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$75.00</w:t>
                  </w:r>
                </w:p>
              </w:tc>
            </w:tr>
            <w:tr w:rsidR="00296E3E" w:rsidRPr="00296E3E">
              <w:trPr>
                <w:tblCellSpacing w:w="7" w:type="dxa"/>
                <w:jc w:val="center"/>
              </w:trPr>
              <w:tc>
                <w:tcPr>
                  <w:tcW w:w="0" w:type="auto"/>
                  <w:shd w:val="clear" w:color="auto" w:fill="F8F0DE"/>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Studio</w:t>
                  </w:r>
                </w:p>
              </w:tc>
              <w:tc>
                <w:tcPr>
                  <w:tcW w:w="0" w:type="auto"/>
                  <w:shd w:val="clear" w:color="auto" w:fill="F8F0DE"/>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$60.00</w:t>
                  </w:r>
                </w:p>
              </w:tc>
            </w:tr>
            <w:tr w:rsidR="00296E3E" w:rsidRPr="00296E3E">
              <w:trPr>
                <w:tblCellSpacing w:w="7" w:type="dxa"/>
                <w:jc w:val="center"/>
              </w:trPr>
              <w:tc>
                <w:tcPr>
                  <w:tcW w:w="0" w:type="auto"/>
                  <w:shd w:val="clear" w:color="auto" w:fill="FFFFFF"/>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proofErr w:type="spellStart"/>
                  <w:r w:rsidRPr="00296E3E">
                    <w:rPr>
                      <w:rFonts w:ascii="Verdana" w:eastAsia="Times New Roman" w:hAnsi="Verdana" w:cs="Times New Roman"/>
                      <w:b/>
                      <w:bCs/>
                      <w:sz w:val="20"/>
                      <w:lang w:eastAsia="es-CR"/>
                    </w:rPr>
                    <w:t>Apartmento</w:t>
                  </w:r>
                  <w:proofErr w:type="spellEnd"/>
                </w:p>
              </w:tc>
              <w:tc>
                <w:tcPr>
                  <w:tcW w:w="0" w:type="auto"/>
                  <w:shd w:val="clear" w:color="auto" w:fill="FFFFFF"/>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$85.00</w:t>
                  </w:r>
                </w:p>
              </w:tc>
            </w:tr>
            <w:tr w:rsidR="00296E3E" w:rsidRPr="00296E3E">
              <w:trPr>
                <w:tblCellSpacing w:w="7" w:type="dxa"/>
                <w:jc w:val="center"/>
              </w:trPr>
              <w:tc>
                <w:tcPr>
                  <w:tcW w:w="0" w:type="auto"/>
                  <w:shd w:val="clear" w:color="auto" w:fill="F8F0DE"/>
                  <w:vAlign w:val="center"/>
                  <w:hideMark/>
                </w:tcPr>
                <w:p w:rsidR="00296E3E" w:rsidRPr="00296E3E" w:rsidRDefault="00296E3E" w:rsidP="00296E3E">
                  <w:pPr>
                    <w:spacing w:after="0"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Persona extra</w:t>
                  </w:r>
                </w:p>
              </w:tc>
              <w:tc>
                <w:tcPr>
                  <w:tcW w:w="0" w:type="auto"/>
                  <w:shd w:val="clear" w:color="auto" w:fill="F8F0DE"/>
                  <w:vAlign w:val="center"/>
                  <w:hideMark/>
                </w:tcPr>
                <w:p w:rsidR="00296E3E" w:rsidRPr="00296E3E" w:rsidRDefault="00296E3E" w:rsidP="00296E3E">
                  <w:pPr>
                    <w:spacing w:after="0" w:line="240" w:lineRule="auto"/>
                    <w:jc w:val="center"/>
                    <w:rPr>
                      <w:rFonts w:ascii="Times New Roman" w:eastAsia="Times New Roman" w:hAnsi="Times New Roman" w:cs="Times New Roman"/>
                      <w:sz w:val="24"/>
                      <w:szCs w:val="24"/>
                      <w:lang w:eastAsia="es-CR"/>
                    </w:rPr>
                  </w:pPr>
                  <w:r w:rsidRPr="00296E3E">
                    <w:rPr>
                      <w:rFonts w:ascii="Verdana" w:eastAsia="Times New Roman" w:hAnsi="Verdana" w:cs="Times New Roman"/>
                      <w:b/>
                      <w:bCs/>
                      <w:sz w:val="20"/>
                      <w:lang w:eastAsia="es-CR"/>
                    </w:rPr>
                    <w:t>$15.00</w:t>
                  </w:r>
                </w:p>
              </w:tc>
            </w:tr>
          </w:tbl>
          <w:p w:rsidR="00296E3E" w:rsidRPr="00296E3E" w:rsidRDefault="00296E3E" w:rsidP="00296E3E">
            <w:p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b/>
                <w:bCs/>
                <w:color w:val="CC0000"/>
                <w:sz w:val="20"/>
                <w:lang w:eastAsia="es-CR"/>
              </w:rPr>
              <w:t>NOTAS:</w:t>
            </w:r>
          </w:p>
          <w:p w:rsidR="00296E3E" w:rsidRPr="00296E3E" w:rsidRDefault="00296E3E" w:rsidP="00296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Las tarifas incluyen desayuno completo.</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Las tarifas no incluyen impuestos locales (13%).</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 xml:space="preserve">Niños </w:t>
            </w:r>
            <w:proofErr w:type="spellStart"/>
            <w:r w:rsidRPr="00296E3E">
              <w:rPr>
                <w:rFonts w:ascii="Verdana" w:eastAsia="Times New Roman" w:hAnsi="Verdana" w:cs="Times New Roman"/>
                <w:sz w:val="20"/>
                <w:szCs w:val="20"/>
                <w:lang w:eastAsia="es-CR"/>
              </w:rPr>
              <w:t>menore</w:t>
            </w:r>
            <w:proofErr w:type="spellEnd"/>
            <w:r w:rsidRPr="00296E3E">
              <w:rPr>
                <w:rFonts w:ascii="Verdana" w:eastAsia="Times New Roman" w:hAnsi="Verdana" w:cs="Times New Roman"/>
                <w:sz w:val="20"/>
                <w:szCs w:val="20"/>
                <w:lang w:eastAsia="es-CR"/>
              </w:rPr>
              <w:t xml:space="preserve"> de 12 años de edad - Sin cargo.</w:t>
            </w:r>
            <w:r w:rsidRPr="00296E3E">
              <w:rPr>
                <w:rFonts w:ascii="Times New Roman" w:eastAsia="Times New Roman" w:hAnsi="Times New Roman" w:cs="Times New Roman"/>
                <w:sz w:val="24"/>
                <w:szCs w:val="24"/>
                <w:lang w:eastAsia="es-CR"/>
              </w:rPr>
              <w:t xml:space="preserve"> </w:t>
            </w:r>
          </w:p>
          <w:p w:rsidR="00296E3E" w:rsidRPr="00296E3E" w:rsidRDefault="00296E3E" w:rsidP="00296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296E3E">
              <w:rPr>
                <w:rFonts w:ascii="Verdana" w:eastAsia="Times New Roman" w:hAnsi="Verdana" w:cs="Times New Roman"/>
                <w:sz w:val="20"/>
                <w:szCs w:val="20"/>
                <w:lang w:eastAsia="es-CR"/>
              </w:rPr>
              <w:t>No se permiten mascotas.</w:t>
            </w:r>
            <w:r w:rsidRPr="00296E3E">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513FD"/>
    <w:multiLevelType w:val="multilevel"/>
    <w:tmpl w:val="166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50126"/>
    <w:multiLevelType w:val="multilevel"/>
    <w:tmpl w:val="0DD6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96E3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E6262"/>
    <w:rsid w:val="000F0D35"/>
    <w:rsid w:val="001034C7"/>
    <w:rsid w:val="001056F9"/>
    <w:rsid w:val="001114C1"/>
    <w:rsid w:val="001147EB"/>
    <w:rsid w:val="001171A5"/>
    <w:rsid w:val="00124B8B"/>
    <w:rsid w:val="00125BDC"/>
    <w:rsid w:val="00140B5E"/>
    <w:rsid w:val="001440CA"/>
    <w:rsid w:val="00147A9B"/>
    <w:rsid w:val="00147AF8"/>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72BA2"/>
    <w:rsid w:val="002928DB"/>
    <w:rsid w:val="00296E3E"/>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97C"/>
    <w:rsid w:val="00475CF3"/>
    <w:rsid w:val="004A54F7"/>
    <w:rsid w:val="004A6246"/>
    <w:rsid w:val="004B438F"/>
    <w:rsid w:val="004B4CBB"/>
    <w:rsid w:val="004C6643"/>
    <w:rsid w:val="004D26C6"/>
    <w:rsid w:val="004D466E"/>
    <w:rsid w:val="004E4224"/>
    <w:rsid w:val="004E59EB"/>
    <w:rsid w:val="004F471C"/>
    <w:rsid w:val="004F7FDC"/>
    <w:rsid w:val="0050488D"/>
    <w:rsid w:val="00510D22"/>
    <w:rsid w:val="00515E91"/>
    <w:rsid w:val="00516290"/>
    <w:rsid w:val="00526038"/>
    <w:rsid w:val="005472B4"/>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4FEE"/>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0273"/>
    <w:rsid w:val="009F354F"/>
    <w:rsid w:val="009F5BB7"/>
    <w:rsid w:val="00A03841"/>
    <w:rsid w:val="00A050E3"/>
    <w:rsid w:val="00A14705"/>
    <w:rsid w:val="00A22535"/>
    <w:rsid w:val="00A2299D"/>
    <w:rsid w:val="00A308F3"/>
    <w:rsid w:val="00A44C93"/>
    <w:rsid w:val="00A56DA5"/>
    <w:rsid w:val="00A73912"/>
    <w:rsid w:val="00A80BAA"/>
    <w:rsid w:val="00AA3E2B"/>
    <w:rsid w:val="00AA42E5"/>
    <w:rsid w:val="00AA52E5"/>
    <w:rsid w:val="00AB2CC3"/>
    <w:rsid w:val="00AB448C"/>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143A"/>
    <w:rsid w:val="00E12B1D"/>
    <w:rsid w:val="00E217B5"/>
    <w:rsid w:val="00E3282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195"/>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296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6E3E"/>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296E3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296E3E"/>
    <w:rPr>
      <w:b/>
      <w:bCs/>
    </w:rPr>
  </w:style>
  <w:style w:type="paragraph" w:styleId="Textodeglobo">
    <w:name w:val="Balloon Text"/>
    <w:basedOn w:val="Normal"/>
    <w:link w:val="TextodegloboCar"/>
    <w:uiPriority w:val="99"/>
    <w:semiHidden/>
    <w:unhideWhenUsed/>
    <w:rsid w:val="00296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2010-08-10T20:55:00Z</dcterms:created>
  <dcterms:modified xsi:type="dcterms:W3CDTF">2010-08-10T20:56:00Z</dcterms:modified>
</cp:coreProperties>
</file>