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115C6D" w:rsidRPr="00115C6D" w:rsidRDefault="00115C6D" w:rsidP="00115C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115C6D" w:rsidRPr="00115C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714375"/>
                  <wp:effectExtent l="19050" t="0" r="0" b="0"/>
                  <wp:docPr id="1" name="Imagen 1" descr="http://www.conozcacostarica.com/images/fleurdely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fleurdely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en el distrito cultural de San José, esta mansión victoriana remodelada ofrece 19 habitaciones decoradas y equipadas individualmente exquisito gusto, garantizado para satisfacer incluso a los viajeros más exigentes. En vez de números impersonales, cada habitación está cálidamente nombrada como una especie flor de Costa Rica. </w:t>
            </w:r>
          </w:p>
        </w:tc>
        <w:tc>
          <w:tcPr>
            <w:tcW w:w="2500" w:type="pct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38450" cy="1885950"/>
                  <wp:effectExtent l="19050" t="0" r="0" b="0"/>
                  <wp:wrapSquare wrapText="bothSides"/>
                  <wp:docPr id="7" name="Imagen 2" descr="The Fleur de Lys Ho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Fleur de Lys Ho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fleurav_f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fleurav_f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Cuadros originales adornan las paredes de cada cuarto. Maderas calientes, ricas y los colores suaves proporcionan a una atmósfera ideal para relajarse completa, y grandes y cómodas camas garantizan un sueño </w:t>
            </w:r>
            <w:proofErr w:type="spellStart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decansado</w:t>
            </w:r>
            <w:proofErr w:type="spellEnd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elegante restaurante </w:t>
            </w:r>
            <w:proofErr w:type="spellStart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Fleur</w:t>
            </w:r>
            <w:proofErr w:type="spellEnd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</w:t>
            </w:r>
            <w:proofErr w:type="spellStart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Lys</w:t>
            </w:r>
            <w:proofErr w:type="spellEnd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bien conocido y respetado por su nueva comida costarricense. Además de nuestro magnífico menú de cena, servimos un desayuno sin cargo adicional a cada uno de </w:t>
            </w:r>
            <w:proofErr w:type="gramStart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nuestras</w:t>
            </w:r>
            <w:proofErr w:type="gramEnd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huéspedes. 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fleurav_f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fleurav_f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fleurav_f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fleurav_f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Nuestra barra cosmopolita es un gran lugar para compartir momentos románticos, así como para conocer viajantes costarricenses y de todo el mundo. Cada noche de martes y viernes, los huéspedes gozad de nuestra </w:t>
            </w:r>
            <w:proofErr w:type="spellStart"/>
            <w:r w:rsidRPr="00115C6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happy</w:t>
            </w:r>
            <w:proofErr w:type="spellEnd"/>
            <w:r w:rsidRPr="00115C6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15C6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s-CR"/>
              </w:rPr>
              <w:t>hour</w:t>
            </w:r>
            <w:proofErr w:type="spellEnd"/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partir de la 5:00 P.M. y hasta las 7:00 P.M.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En la recepción, los asistentes muy gustosamente le asistirán para confirmar sus vuelos, como también le brindaran información adicional sobre puntos de interés en Costa Rica. 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fleurav_f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fleurav_f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fleurav_f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fleurav_f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15C6D" w:rsidRPr="00115C6D" w:rsidRDefault="00115C6D" w:rsidP="00115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"No podría estar más complacido con la calidad del hospedaje...Mi más alta recomendación, y mis elogios al servicio. Me he hospedado en hoteles de muy buena reputación en USA, pero el personal del </w:t>
            </w:r>
            <w:proofErr w:type="spellStart"/>
            <w:r w:rsidRPr="00115C6D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Fleur</w:t>
            </w:r>
            <w:proofErr w:type="spellEnd"/>
            <w:r w:rsidRPr="00115C6D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de </w:t>
            </w:r>
            <w:proofErr w:type="spellStart"/>
            <w:r w:rsidRPr="00115C6D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Lys</w:t>
            </w:r>
            <w:proofErr w:type="spellEnd"/>
            <w:r w:rsidRPr="00115C6D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es muy superior al de esos hoteles de "5 estrellas".</w:t>
            </w:r>
          </w:p>
          <w:p w:rsidR="00115C6D" w:rsidRPr="00115C6D" w:rsidRDefault="00115C6D" w:rsidP="00115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115C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val="en-US" w:eastAsia="es-CR"/>
              </w:rPr>
              <w:t>Glen A. Halva-</w:t>
            </w:r>
            <w:proofErr w:type="spellStart"/>
            <w:r w:rsidRPr="00115C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val="en-US" w:eastAsia="es-CR"/>
              </w:rPr>
              <w:t>Neubauer</w:t>
            </w:r>
            <w:proofErr w:type="spellEnd"/>
            <w:r w:rsidRPr="00115C6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val="en-US" w:eastAsia="es-CR"/>
              </w:rPr>
              <w:t>, Greenville, South Carolina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5C6D" w:rsidRDefault="00115C6D" w:rsidP="00115C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115C6D" w:rsidRDefault="00115C6D" w:rsidP="00115C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115C6D" w:rsidRDefault="00115C6D" w:rsidP="00115C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</w:pPr>
          </w:p>
          <w:p w:rsidR="00115C6D" w:rsidRPr="00115C6D" w:rsidRDefault="00115C6D" w:rsidP="00115C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115C6D">
              <w:rPr>
                <w:rFonts w:ascii="Trebuchet MS" w:eastAsia="Times New Roman" w:hAnsi="Trebuchet MS" w:cs="Times New Roman"/>
                <w:b/>
                <w:bCs/>
                <w:color w:val="003399"/>
                <w:kern w:val="36"/>
                <w:sz w:val="45"/>
                <w:szCs w:val="45"/>
                <w:lang w:eastAsia="es-CR"/>
              </w:rPr>
              <w:t>TARIFAS 2010 - 2011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82"/>
              <w:gridCol w:w="2167"/>
              <w:gridCol w:w="2167"/>
              <w:gridCol w:w="2174"/>
            </w:tblGrid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23366F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9780" w:type="dxa"/>
                  <w:shd w:val="clear" w:color="auto" w:fill="0066CC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 Nov. 01, 2009</w:t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a Abril 30, 2010</w:t>
                  </w:r>
                </w:p>
              </w:tc>
              <w:tc>
                <w:tcPr>
                  <w:tcW w:w="9780" w:type="dxa"/>
                  <w:shd w:val="clear" w:color="auto" w:fill="008000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 Mayo 01, 2010</w:t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a Oct. 31, 2010</w:t>
                  </w:r>
                </w:p>
              </w:tc>
              <w:tc>
                <w:tcPr>
                  <w:tcW w:w="9780" w:type="dxa"/>
                  <w:shd w:val="clear" w:color="auto" w:fill="0066CC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 Nov. 01, 2010</w:t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15C6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a Abril 30, 2011</w:t>
                  </w:r>
                </w:p>
              </w:tc>
            </w:tr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Sencilla 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$84.00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$84.00</w:t>
                  </w:r>
                </w:p>
              </w:tc>
            </w:tr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Doble / Gemela 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$94.00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$94.00</w:t>
                  </w:r>
                </w:p>
              </w:tc>
            </w:tr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$104.00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$109.00</w:t>
                  </w:r>
                </w:p>
              </w:tc>
            </w:tr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Suite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$124.00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$124.00</w:t>
                  </w:r>
                </w:p>
              </w:tc>
            </w:tr>
            <w:tr w:rsidR="00115C6D" w:rsidRPr="00115C6D">
              <w:trPr>
                <w:tblCellSpacing w:w="7" w:type="dxa"/>
                <w:jc w:val="center"/>
              </w:trPr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Master</w:t>
                  </w:r>
                  <w:proofErr w:type="spellEnd"/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Suite c/jacuzzi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$139.00</w:t>
                  </w:r>
                </w:p>
              </w:tc>
              <w:tc>
                <w:tcPr>
                  <w:tcW w:w="9780" w:type="dxa"/>
                  <w:shd w:val="clear" w:color="auto" w:fill="FBFCEB"/>
                  <w:vAlign w:val="center"/>
                  <w:hideMark/>
                </w:tcPr>
                <w:p w:rsidR="00115C6D" w:rsidRPr="00115C6D" w:rsidRDefault="00115C6D" w:rsidP="00115C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15C6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$139.00</w:t>
                  </w:r>
                </w:p>
              </w:tc>
            </w:tr>
          </w:tbl>
          <w:p w:rsidR="00115C6D" w:rsidRPr="00115C6D" w:rsidRDefault="00115C6D" w:rsidP="0011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15C6D" w:rsidRPr="00115C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5C6D" w:rsidRPr="00115C6D" w:rsidRDefault="00115C6D" w:rsidP="00115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115C6D" w:rsidRPr="00115C6D" w:rsidRDefault="00115C6D" w:rsidP="00115C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estilo buffet incluido.</w:t>
            </w: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15C6D" w:rsidRPr="00115C6D" w:rsidRDefault="00115C6D" w:rsidP="00115C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15C6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en dólares de los E.E.U.U., y no incluyen impuestos locales (13%).</w:t>
            </w:r>
            <w:r w:rsidRPr="00115C6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17F"/>
    <w:multiLevelType w:val="multilevel"/>
    <w:tmpl w:val="2E5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15C6D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5C6D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15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5C6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11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15C6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2010-08-10T19:27:00Z</dcterms:created>
  <dcterms:modified xsi:type="dcterms:W3CDTF">2010-08-10T19:27:00Z</dcterms:modified>
</cp:coreProperties>
</file>