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2548CD" w:rsidRPr="002548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48CD" w:rsidRPr="002548CD" w:rsidRDefault="002548CD" w:rsidP="0025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2548CD" w:rsidRPr="002548CD" w:rsidRDefault="002548CD" w:rsidP="00254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2548CD" w:rsidRPr="002548CD" w:rsidRDefault="002548CD" w:rsidP="002548C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2548CD" w:rsidRPr="002548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48CD" w:rsidRPr="002548CD" w:rsidRDefault="002548CD" w:rsidP="0025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5438775" cy="1304925"/>
                  <wp:effectExtent l="19050" t="0" r="9525" b="0"/>
                  <wp:docPr id="1" name="Imagen 1" descr="Selva Bananito Lo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lva Bananito Lo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8CD" w:rsidRPr="002548CD" w:rsidRDefault="002548CD" w:rsidP="002548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33525" cy="1905000"/>
                  <wp:effectExtent l="19050" t="0" r="9525" b="0"/>
                  <wp:wrapSquare wrapText="bothSides"/>
                  <wp:docPr id="2" name="Imagen 2" descr="http://www.conozcacostarica.com/images/bananitotreec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bananitotreec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8C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CR"/>
              </w:rPr>
              <w:t>Selva Bananito Lodge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abrió sus puertas en Diciembre de 1995, es un hotel apartado dentro del bosque lluvioso situado 20 km al sur y 15 km de Puerto Limón en la costa Atlántica de Costa Rica. Sus dueños y operadores son la familia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Stein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quienes llegaron a Costa Rica desde sur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America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hace 24 años.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  <w:t xml:space="preserve">Ellos generan entradas del turismo para la protección de 850 hectáreas (2,000 acres) de un bosque lluvioso privado, y para fundaciones de proyectos especiales de conservación en las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areas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vecinas.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52575" cy="2333625"/>
                  <wp:effectExtent l="19050" t="0" r="9525" b="0"/>
                  <wp:wrapSquare wrapText="bothSides"/>
                  <wp:docPr id="3" name="Imagen 3" descr="http://www.conozcacostarica.com/images/bananito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bananito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En adición para que sea disponible para viajeros independientes interesados en el bosque lluvioso, ellos ofrecen un programa de estudio del bosque lluvioso para estudiantes de escuelas y colegios, y pronto se abrirán las puertas a investigadores científicos.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  <w:t xml:space="preserve">La reserva privada financiada por </w:t>
            </w:r>
            <w:r w:rsidRPr="002548C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CR"/>
              </w:rPr>
              <w:t>Selva Bananito Lodge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llamada </w:t>
            </w:r>
            <w:r w:rsidRPr="002548C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R"/>
              </w:rPr>
              <w:t>Reserva Selva Bananito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esta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a solo diez minutos de caminata desde el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lodge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y embellece la vista desde las cabañas. Para minimizar el impacto de los turistas en este primitivo ambiente del bosque lluvioso, solamente reciben pequeños grupos de visitantes a un mismo tiempo.</w:t>
            </w:r>
          </w:p>
          <w:p w:rsidR="002548CD" w:rsidRPr="002548CD" w:rsidRDefault="002548CD" w:rsidP="0025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2266950"/>
                  <wp:effectExtent l="19050" t="0" r="0" b="0"/>
                  <wp:wrapSquare wrapText="bothSides"/>
                  <wp:docPr id="4" name="Imagen 4" descr="http://www.conozcacostarica.com/images/bananitowaterf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bananitowaterf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La reserva cubre dos terceras partes de la granja familiar y consiste primordialmente de un bosque lluvioso primario. Comparte limites con el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Area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de conservación</w:t>
            </w:r>
            <w:r w:rsidRPr="002548C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R"/>
              </w:rPr>
              <w:t xml:space="preserve"> La Amistad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el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area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de protección de la vida silvestre más grande de América Centra, que consiste en varios parques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nacionale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sy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reservas. Esta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area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permanece como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un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de los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ultimos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reductos menos explorados y su riqueza biológica solo se conoce en forma parcial.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  <w:t xml:space="preserve">Una tercera parte de la tierra (alrededor de 416 hectáreas o 1,000 acres) </w:t>
            </w:r>
            <w:proofErr w:type="gram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son</w:t>
            </w:r>
            <w:proofErr w:type="gram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dedicados a la agricultura sostenible de bajo impacto y la ganadería.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52575" cy="2333625"/>
                  <wp:effectExtent l="19050" t="0" r="9525" b="0"/>
                  <wp:wrapSquare wrapText="bothSides"/>
                  <wp:docPr id="5" name="Imagen 5" descr="http://www.conozcacostarica.com/images/bananitocasc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bananitocasca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CR"/>
              </w:rPr>
              <w:t>Actividades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10" w:history="1">
              <w:r w:rsidRPr="002548C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CR"/>
                </w:rPr>
                <w:t>Observación de Aves espectacular</w:t>
              </w:r>
            </w:hyperlink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Caminatas por el bosque lluvioso con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guia</w:t>
            </w:r>
            <w:proofErr w:type="spellEnd"/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Exploración de la copa de los árboles gigantes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Paseos en bicicleta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Paseos a caballo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Descensos a (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Rappelling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) por las cascadas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Pasar la noche en Campamentos en el bosque lluvioso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Relajarse en los ríos cristalinos y las piscinas naturales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CR"/>
              </w:rPr>
              <w:t>Características Especiales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Asombrosa flora y fauna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Más de 850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hectareas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(2,000 acres) de bosques lluviosos primarios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Cascadas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Un exótico jardín de </w:t>
            </w:r>
            <w:r w:rsidRPr="002548C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CR"/>
              </w:rPr>
              <w:t>flores de heliconias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Agricultura diversificada que ofrece ejemplos de agricultura tradicional sostenible en las tierras bajas del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tropico</w:t>
            </w:r>
            <w:proofErr w:type="spellEnd"/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Un ambiente que combina el uso de la tierra por los humanos y la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coservación</w:t>
            </w:r>
            <w:proofErr w:type="spellEnd"/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Verdadera relajación o retos físicos diarios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Programas de estudios del bosque lluvioso para escuelas, colegios, o grupos de especial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interes</w:t>
            </w:r>
            <w:proofErr w:type="spellEnd"/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33525" cy="1905000"/>
                  <wp:effectExtent l="19050" t="0" r="9525" b="0"/>
                  <wp:wrapSquare wrapText="bothSides"/>
                  <wp:docPr id="6" name="Imagen 6" descr="http://www.conozcacostarica.com/images/bananitorapp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bananitorapp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8C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CR"/>
              </w:rPr>
              <w:t>Respetando el ambiente sin sacrificar la comodidad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 Para la temporada el nuevo viajero, el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lodge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provee excelente comodidad mientras trata de limitar el impacto humano en el ambiente. Siete espaciosas cabañas fueron construidas con hermosa maderas salvajes y se encuentran a solo diez metros una de la otra. Ofrecen grandes baños de azulejos, con agua calentada con energía solar, una cama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queen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y una cama matrimonial, amplios corredores y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amacas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. Para mantener el ambiente nocturno lo más natural posible, el hotel no usa energía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electrica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pero suministra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lamparas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portatiles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para que pueda leer durante la noche.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  <w:t xml:space="preserve">La meta es proveer a los clientes con una atención </w:t>
            </w:r>
            <w:proofErr w:type="spellStart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exelente</w:t>
            </w:r>
            <w:proofErr w:type="spellEnd"/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y personalizada a precios razonables.</w:t>
            </w:r>
            <w:r w:rsidRPr="002548C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br/>
            </w:r>
          </w:p>
        </w:tc>
      </w:tr>
      <w:tr w:rsidR="002548CD" w:rsidRPr="002548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48CD" w:rsidRPr="002548CD" w:rsidRDefault="002548CD" w:rsidP="002548C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2548CD">
              <w:rPr>
                <w:rFonts w:ascii="Trebuchet MS" w:eastAsia="Times New Roman" w:hAnsi="Trebuchet MS" w:cs="Times New Roman"/>
                <w:b/>
                <w:bCs/>
                <w:color w:val="006600"/>
                <w:kern w:val="36"/>
                <w:sz w:val="45"/>
                <w:szCs w:val="45"/>
                <w:lang w:eastAsia="es-CR"/>
              </w:rPr>
              <w:lastRenderedPageBreak/>
              <w:t xml:space="preserve">Tarifas 2010 </w:t>
            </w:r>
          </w:p>
        </w:tc>
      </w:tr>
      <w:tr w:rsidR="002548CD" w:rsidRPr="002548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48CD" w:rsidRPr="002548CD" w:rsidRDefault="002548CD" w:rsidP="00254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Verdana" w:eastAsia="Times New Roman" w:hAnsi="Verdana" w:cs="Arial"/>
                <w:b/>
                <w:bCs/>
                <w:color w:val="008000"/>
                <w:sz w:val="20"/>
                <w:lang w:eastAsia="es-CR"/>
              </w:rPr>
              <w:t>(Tarifas diarias validas hasta Noviembre, 2010)</w:t>
            </w:r>
          </w:p>
          <w:tbl>
            <w:tblPr>
              <w:tblW w:w="40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47"/>
              <w:gridCol w:w="2349"/>
              <w:gridCol w:w="2297"/>
            </w:tblGrid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6600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Ocupanción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6600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Estándar * </w:t>
                  </w:r>
                </w:p>
              </w:tc>
              <w:tc>
                <w:tcPr>
                  <w:tcW w:w="0" w:type="auto"/>
                  <w:shd w:val="clear" w:color="auto" w:fill="006600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Superior * 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1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$152.00pp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$172.00pp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$130.00pp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$140.00pp 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$115.00pp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$122.00pp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$115.00pp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$122.00pp</w:t>
                  </w:r>
                </w:p>
              </w:tc>
            </w:tr>
          </w:tbl>
          <w:p w:rsidR="002548CD" w:rsidRPr="002548CD" w:rsidRDefault="002548CD" w:rsidP="0025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2548CD" w:rsidRPr="002548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48CD" w:rsidRPr="002548CD" w:rsidRDefault="002548CD" w:rsidP="00254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48CD" w:rsidRPr="002548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48CD" w:rsidRPr="002548CD" w:rsidRDefault="002548CD" w:rsidP="002548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Verdana" w:eastAsia="Times New Roman" w:hAnsi="Verdana" w:cs="Arial"/>
                <w:b/>
                <w:bCs/>
                <w:color w:val="008000"/>
                <w:sz w:val="20"/>
                <w:lang w:eastAsia="es-CR"/>
              </w:rPr>
              <w:t>(Tarifas validas hasta Noviembre, 2010)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0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02"/>
              <w:gridCol w:w="1595"/>
              <w:gridCol w:w="1596"/>
              <w:gridCol w:w="1596"/>
              <w:gridCol w:w="1603"/>
            </w:tblGrid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4080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Ocupanción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shd w:val="clear" w:color="auto" w:fill="004080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3 </w:t>
                  </w:r>
                  <w:proofErr w:type="spellStart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days</w:t>
                  </w:r>
                  <w:proofErr w:type="spellEnd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/ 2 </w:t>
                  </w:r>
                  <w:proofErr w:type="spellStart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night</w:t>
                  </w:r>
                  <w:proofErr w:type="spellEnd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</w:t>
                  </w:r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proofErr w:type="spellStart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Adventure</w:t>
                  </w:r>
                  <w:proofErr w:type="spellEnd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package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shd w:val="clear" w:color="auto" w:fill="004080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val="en-US" w:eastAsia="es-CR"/>
                    </w:rPr>
                    <w:t>4 days / 3 nights</w:t>
                  </w:r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val="en-US" w:eastAsia="es-CR"/>
                    </w:rPr>
                    <w:br/>
                  </w:r>
                  <w:r w:rsidRPr="002548C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val="en-US" w:eastAsia="es-CR"/>
                    </w:rPr>
                    <w:t>Soft Adventure Package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> 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Superior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1000" w:type="pct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Superior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color w:val="003D79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$475.00pp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$512.00pp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$560.00pp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$620.00pp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color w:val="003D79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$431.00pp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$450.00pp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$480.00pp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$520.00pp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color w:val="003D79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$400.00pp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$413.00pp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$420.00pp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$472.00pp</w:t>
                  </w:r>
                </w:p>
              </w:tc>
            </w:tr>
            <w:tr w:rsidR="002548CD" w:rsidRPr="002548C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color w:val="003D79"/>
                      <w:sz w:val="20"/>
                      <w:szCs w:val="20"/>
                      <w:lang w:eastAsia="es-CR"/>
                    </w:rPr>
                    <w:t>Cuádruple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$400.50pp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$412.50pp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$420.00pp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48CD" w:rsidRPr="002548CD" w:rsidRDefault="002548CD" w:rsidP="00254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48C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$472.00pp</w:t>
                  </w:r>
                </w:p>
              </w:tc>
            </w:tr>
          </w:tbl>
          <w:p w:rsidR="002548CD" w:rsidRPr="002548CD" w:rsidRDefault="002548CD" w:rsidP="00254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2548CD" w:rsidRPr="002548CD" w:rsidRDefault="002548CD" w:rsidP="002548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3 días / 2 noches - El paquete incluye:</w:t>
            </w:r>
            <w:r w:rsidRPr="002548C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viaje redondo entre San José y Selva Bananito Lodge, alojamiento, Plan Americano: desayuno estilo buffet, almuerzo, cena de tres platillos, refrescos de frutas naturales con todos los alimentos, y tours: introducción para escalar árboles, tour a la </w:t>
            </w:r>
            <w:proofErr w:type="spellStart"/>
            <w:r w:rsidRPr="002548C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casacada</w:t>
            </w:r>
            <w:proofErr w:type="spellEnd"/>
            <w:r w:rsidRPr="002548C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paseo a caballo por la granja. Las tarifas son por persona e incluyen todos los impuestos de ley.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48CD" w:rsidRPr="002548CD" w:rsidRDefault="002548CD" w:rsidP="002548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48CD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4 días / 3 noches - El paquete incluye:</w:t>
            </w:r>
            <w:r w:rsidRPr="002548C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viaje redondo entre San José y Selva Bananito Lodge, alojamiento, dos de las siguientes actividades: caminata por el bosque lluvioso, paseo a caballo por la granja o introducción para escalar árboles; Plan Americano: desayuno estilo buffet, almuerzo, cena de tres platillos, refrescos de frutas naturales con todos los alimentos. Las tarifas son por persona e incluyen todos los impuestos de ley.</w:t>
            </w:r>
            <w:r w:rsidRPr="002548C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1AE3"/>
    <w:multiLevelType w:val="multilevel"/>
    <w:tmpl w:val="3270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66372"/>
    <w:multiLevelType w:val="multilevel"/>
    <w:tmpl w:val="C3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8007B"/>
    <w:multiLevelType w:val="multilevel"/>
    <w:tmpl w:val="4B6A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548CD"/>
    <w:rsid w:val="00013088"/>
    <w:rsid w:val="00021CA3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4C3E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48CD"/>
    <w:rsid w:val="002569B3"/>
    <w:rsid w:val="002928DB"/>
    <w:rsid w:val="002A439F"/>
    <w:rsid w:val="002A7B4E"/>
    <w:rsid w:val="00330F85"/>
    <w:rsid w:val="0035784A"/>
    <w:rsid w:val="00360B29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75792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75770"/>
    <w:rsid w:val="00D86325"/>
    <w:rsid w:val="00D941FF"/>
    <w:rsid w:val="00D96A56"/>
    <w:rsid w:val="00DA099C"/>
    <w:rsid w:val="00DB4F25"/>
    <w:rsid w:val="00DD74E8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254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8C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2548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2548C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hyperlink" Target="http://www.rainforesttours.com/birdwatching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2010-08-10T15:16:00Z</dcterms:created>
  <dcterms:modified xsi:type="dcterms:W3CDTF">2010-08-10T15:17:00Z</dcterms:modified>
</cp:coreProperties>
</file>