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042705" w:rsidRPr="000427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457325"/>
                  <wp:effectExtent l="19050" t="0" r="0" b="0"/>
                  <wp:docPr id="1" name="Imagen 1" descr="Pachira Lodge Tortugu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chira Lodge Tortugu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esta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estrategicamente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a solo 5 minutos del extraordinario Parque Nacional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y atravesando el canal principal frente al pueblo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Rodeado por una red de canales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escenicos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considerada una de las regiones más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exoticas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 mundo, que se caracteriza por su rica flora y fauna. 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a_piscina_final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_piscina_final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tortugu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ortugu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el lugar más importante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desobe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en la parte oeste media del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caribe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para la tortuga verde (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Chelonia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Midas) que se encuentra en grave peligro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extinsión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</w:t>
            </w:r>
          </w:p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Exuberante, paradisiaco,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mistico</w:t>
            </w:r>
            <w:proofErr w:type="spellEnd"/>
            <w:proofErr w:type="gram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..</w:t>
            </w:r>
            <w:proofErr w:type="gram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gram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una</w:t>
            </w:r>
            <w:proofErr w:type="gram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red natural de caminos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acuaticos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navegables. Una de las zonas más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exoticas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bellas de Costa Rica, rica en flora y fauna.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una de las zonas más salvajes de Costa Rica, con una variedad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biologica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grandiosa. 11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habitats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 han identificado, tales como 2000 especies de plantas y 400 especies de árboles. También hay una amplia variedad de vida silvestre:</w:t>
            </w:r>
          </w:p>
          <w:p w:rsidR="00042705" w:rsidRPr="00042705" w:rsidRDefault="00042705" w:rsidP="00042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57 especies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amfibios</w:t>
            </w:r>
            <w:proofErr w:type="spellEnd"/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111 especies de reptiles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309 especies de aves grabadas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30 especies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pesces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agua dulce, incluido el Gar, considerado un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fosil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viviente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60 especies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mamiferos</w:t>
            </w:r>
            <w:proofErr w:type="spellEnd"/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pachira_lodg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achira_lodg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a_habitacion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_habitacion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>Servicios :</w:t>
            </w:r>
            <w:r w:rsidRPr="00042705">
              <w:rPr>
                <w:rFonts w:ascii="Verdana" w:eastAsia="Times New Roman" w:hAnsi="Verdana" w:cs="Times New Roman"/>
                <w:color w:val="0066CC"/>
                <w:sz w:val="20"/>
                <w:szCs w:val="20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34 cuartos confortables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Agua caliente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Abanicos de techo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2 camas dobles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baños privados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muebles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bambu</w:t>
            </w:r>
            <w:proofErr w:type="spellEnd"/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Restaurante / bar - todas las comidas están incluidas en el precio del paquete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>lodge</w:t>
            </w:r>
            <w:proofErr w:type="spellEnd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 xml:space="preserve"> más nuevo en </w:t>
            </w:r>
            <w:proofErr w:type="spellStart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>Tortuguero</w:t>
            </w:r>
            <w:proofErr w:type="spellEnd"/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14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hectareas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(34 acres).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 5 minutos de la entrada al Parque Nacional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Quedese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una confortable habitación con baño privado, agua caliente y abanico de techo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Disfrute todos los alimentos estilo buffet que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incluidos. Brinde con un buen vino a la hora de la cena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pachira_sende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achira_sende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pachira_restaur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achira_restaur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42705" w:rsidRPr="00042705" w:rsidRDefault="00042705" w:rsidP="00042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Sea un invitado en el bar y disfrute su excelente servicio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Permita al equipo de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Pachira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mostrarle este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paraiso</w:t>
            </w:r>
            <w:proofErr w:type="spellEnd"/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Tome ventaja de las salidas diarias desde San José, sin un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minimo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pasajeros requerido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Tome uno de los tours opcionales: pesca,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desobe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las tortugas y tour mañanero (incluido en el paquete de dos </w:t>
            </w:r>
            <w:proofErr w:type="spellStart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dias</w:t>
            </w:r>
            <w:proofErr w:type="spellEnd"/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/una noche). </w:t>
            </w: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Viva esta experiencia en este Oasis, en una de las zonas más salvajes de la jungla de Costa Rica.</w:t>
            </w:r>
          </w:p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  <w:p w:rsidR="00042705" w:rsidRPr="00042705" w:rsidRDefault="00042705" w:rsidP="00042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 xml:space="preserve">Cuando visite Costa Rica, no pierda la oportunidad de disfrutar la experiencia de </w:t>
            </w:r>
            <w:proofErr w:type="spellStart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>Pachira</w:t>
            </w:r>
            <w:proofErr w:type="spellEnd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>Lodge</w:t>
            </w:r>
            <w:proofErr w:type="spellEnd"/>
            <w:r w:rsidRPr="00042705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8" name="Imagen 2" descr="http://www.conozcacostarica.com/images/pachira_b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achira_bo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42705" w:rsidRPr="00042705" w:rsidRDefault="00042705" w:rsidP="000427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042705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lang w:eastAsia="es-CR"/>
              </w:rPr>
              <w:t>Tarifas y Paquetes</w:t>
            </w:r>
          </w:p>
          <w:p w:rsidR="00042705" w:rsidRPr="00042705" w:rsidRDefault="00042705" w:rsidP="00042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(válido de Dic. 16, 2008 hasta Dic. 15, 2010)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623"/>
              <w:gridCol w:w="1455"/>
              <w:gridCol w:w="1455"/>
              <w:gridCol w:w="1455"/>
              <w:gridCol w:w="1102"/>
            </w:tblGrid>
            <w:tr w:rsidR="00042705" w:rsidRPr="0004270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6633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Descripción/Incluye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6633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Sencilla</w:t>
                  </w:r>
                  <w:r w:rsidRPr="00042705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6633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Doble</w:t>
                  </w:r>
                  <w:r w:rsidRPr="00042705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6633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Triple</w:t>
                  </w:r>
                  <w:r w:rsidRPr="00042705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6633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Niños</w:t>
                  </w:r>
                  <w:r w:rsidRPr="00042705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042705" w:rsidRPr="00042705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TOUR DE UN DIA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Transporte terrestre, dos traslados en bote. Desayuno y almuerzo.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$99.00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$69.00</w:t>
                  </w:r>
                </w:p>
              </w:tc>
            </w:tr>
            <w:tr w:rsidR="00042705" w:rsidRPr="0004270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DOS DIAS / UNA NOCHE</w:t>
                  </w: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Transporte terrestre, dos traslados en bote. Todos los alimentos, hospedaje y tours.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$209.00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$189.00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$88.00</w:t>
                  </w:r>
                </w:p>
              </w:tc>
            </w:tr>
            <w:tr w:rsidR="00042705" w:rsidRPr="00042705">
              <w:trPr>
                <w:trHeight w:val="64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DOS DIAS / UNA NOCHE</w:t>
                  </w: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Avión - Bote / Bote - Avión.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Todos los alimentos, hospedaje y tours.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$242.00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$152.00</w:t>
                  </w:r>
                </w:p>
              </w:tc>
            </w:tr>
            <w:tr w:rsidR="00042705" w:rsidRPr="00042705">
              <w:trPr>
                <w:trHeight w:val="64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DOS DIAS / UNA NOCHE</w:t>
                  </w: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Transporte </w:t>
                  </w:r>
                  <w:proofErr w:type="spellStart"/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aereo</w:t>
                  </w:r>
                  <w:proofErr w:type="spellEnd"/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redondo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Todos los alimentos, hospedaje y tours.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$399.00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$302.00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$195.00</w:t>
                  </w:r>
                </w:p>
              </w:tc>
            </w:tr>
            <w:tr w:rsidR="00042705" w:rsidRPr="00042705">
              <w:trPr>
                <w:trHeight w:val="64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TRES DÍAS / DOS NOCHES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Transporte terrestre, dos traslados en bote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Todos los alimentos, hospedaje y tours.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$329.00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$289.00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$219.00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$100.00</w:t>
                  </w:r>
                </w:p>
              </w:tc>
            </w:tr>
            <w:tr w:rsidR="00042705" w:rsidRPr="00042705">
              <w:trPr>
                <w:trHeight w:val="64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TRES DÍAS / DOS NOCHES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Aeroplano - Bote / Bote - Aeroplano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Todos los alimentos, hospedaje y tours.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$339.00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$335.00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$162.00</w:t>
                  </w:r>
                </w:p>
              </w:tc>
            </w:tr>
            <w:tr w:rsidR="00042705" w:rsidRPr="00042705">
              <w:trPr>
                <w:trHeight w:val="25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TRES DÍAS / DOS NOCHES</w:t>
                  </w: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Transporte </w:t>
                  </w:r>
                  <w:proofErr w:type="spellStart"/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aereo</w:t>
                  </w:r>
                  <w:proofErr w:type="spellEnd"/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redondo.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Todos los alimentos, hospedaje y </w:t>
                  </w:r>
                  <w:r w:rsidRPr="000427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lastRenderedPageBreak/>
                    <w:t>tours.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lastRenderedPageBreak/>
                    <w:t>$549.00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$445.00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$425.00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42705" w:rsidRPr="00042705" w:rsidRDefault="00042705" w:rsidP="000427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427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$219.00</w:t>
                  </w:r>
                </w:p>
              </w:tc>
            </w:tr>
          </w:tbl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42705" w:rsidRPr="00042705" w:rsidRDefault="00042705" w:rsidP="0004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042705" w:rsidRPr="000427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42705" w:rsidRPr="00042705" w:rsidRDefault="00042705" w:rsidP="00042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042705" w:rsidRPr="00042705" w:rsidRDefault="00042705" w:rsidP="00042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persona en dólares de EUA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42705" w:rsidRPr="00042705" w:rsidRDefault="00042705" w:rsidP="00042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4270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de edad, máximo 2 por habitación</w:t>
            </w:r>
            <w:r w:rsidRPr="0004270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283"/>
    <w:multiLevelType w:val="multilevel"/>
    <w:tmpl w:val="9D0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B1FAA"/>
    <w:multiLevelType w:val="multilevel"/>
    <w:tmpl w:val="06B6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F59CB"/>
    <w:multiLevelType w:val="multilevel"/>
    <w:tmpl w:val="F62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75447"/>
    <w:multiLevelType w:val="multilevel"/>
    <w:tmpl w:val="462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A3CB0"/>
    <w:multiLevelType w:val="multilevel"/>
    <w:tmpl w:val="E29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705"/>
    <w:rsid w:val="00024515"/>
    <w:rsid w:val="00024EA2"/>
    <w:rsid w:val="00042705"/>
    <w:rsid w:val="00057C3E"/>
    <w:rsid w:val="000719D8"/>
    <w:rsid w:val="00075092"/>
    <w:rsid w:val="00076E3B"/>
    <w:rsid w:val="0009679A"/>
    <w:rsid w:val="000A1168"/>
    <w:rsid w:val="000A75DE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E0C8C"/>
    <w:rsid w:val="001F2B2B"/>
    <w:rsid w:val="00215E7C"/>
    <w:rsid w:val="0024305F"/>
    <w:rsid w:val="002569B3"/>
    <w:rsid w:val="002A439F"/>
    <w:rsid w:val="0035784A"/>
    <w:rsid w:val="00365848"/>
    <w:rsid w:val="003F3716"/>
    <w:rsid w:val="00432C11"/>
    <w:rsid w:val="004411C6"/>
    <w:rsid w:val="004A54F7"/>
    <w:rsid w:val="004B438F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5086A"/>
    <w:rsid w:val="00663745"/>
    <w:rsid w:val="00667401"/>
    <w:rsid w:val="006743FA"/>
    <w:rsid w:val="00691720"/>
    <w:rsid w:val="006943F6"/>
    <w:rsid w:val="00696CDD"/>
    <w:rsid w:val="006A54F6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2299D"/>
    <w:rsid w:val="00A80BAA"/>
    <w:rsid w:val="00AA52E5"/>
    <w:rsid w:val="00AB6B51"/>
    <w:rsid w:val="00B01CB1"/>
    <w:rsid w:val="00B125C3"/>
    <w:rsid w:val="00B16F65"/>
    <w:rsid w:val="00B234AE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E92"/>
    <w:rsid w:val="00C45BDE"/>
    <w:rsid w:val="00C764B2"/>
    <w:rsid w:val="00C9292F"/>
    <w:rsid w:val="00CA79AF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4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705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4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427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2010-08-09T14:59:00Z</dcterms:created>
  <dcterms:modified xsi:type="dcterms:W3CDTF">2010-08-09T15:00:00Z</dcterms:modified>
</cp:coreProperties>
</file>