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EC5866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EC5866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EC5866">
        <w:rPr>
          <w:rFonts w:ascii="Garamond" w:hAnsi="Garamond"/>
          <w:b w:val="0"/>
        </w:rPr>
        <w:t>sde el 16 de  diciembre del 2011 hasta el 30 de  Abril del 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E66689">
              <w:rPr>
                <w:rFonts w:ascii="Garamond" w:hAnsi="Garamond"/>
                <w:bCs/>
                <w:color w:val="1F497D"/>
                <w:lang w:val="es-CR" w:eastAsia="es-MX"/>
              </w:rPr>
              <w:t>3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E66689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EC5866">
        <w:rPr>
          <w:rFonts w:ascii="Garamond" w:hAnsi="Garamond"/>
          <w:b w:val="0"/>
          <w:color w:val="1F497D"/>
          <w:szCs w:val="32"/>
          <w:lang w:eastAsia="es-MX"/>
        </w:rPr>
        <w:t>2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EC5866">
        <w:rPr>
          <w:rFonts w:ascii="Garamond" w:hAnsi="Garamond"/>
          <w:b w:val="0"/>
        </w:rPr>
        <w:t xml:space="preserve">  Mayo 2012</w:t>
      </w:r>
      <w:r w:rsidRPr="00955365">
        <w:rPr>
          <w:rFonts w:ascii="Garamond" w:hAnsi="Garamond"/>
          <w:b w:val="0"/>
        </w:rPr>
        <w:t xml:space="preserve"> ha</w:t>
      </w:r>
      <w:r w:rsidR="00EC5866">
        <w:rPr>
          <w:rFonts w:ascii="Garamond" w:hAnsi="Garamond"/>
          <w:b w:val="0"/>
        </w:rPr>
        <w:t>sta el 15 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E66689">
              <w:rPr>
                <w:rFonts w:ascii="Garamond" w:hAnsi="Garamond"/>
                <w:bCs/>
                <w:color w:val="1F497D"/>
                <w:lang w:val="es-CR" w:eastAsia="es-MX"/>
              </w:rPr>
              <w:t>3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E66689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0B4C08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077A78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$28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077A78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2 personas $40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21" w:rsidRDefault="00060C21" w:rsidP="00775503">
      <w:r>
        <w:separator/>
      </w:r>
    </w:p>
  </w:endnote>
  <w:endnote w:type="continuationSeparator" w:id="1">
    <w:p w:rsidR="00060C21" w:rsidRDefault="00060C21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510AD6" w:rsidP="00652470">
    <w:pPr>
      <w:pStyle w:val="Piedepgina"/>
      <w:jc w:val="center"/>
      <w:rPr>
        <w:color w:val="1F497D" w:themeColor="text2"/>
      </w:rPr>
    </w:pPr>
    <w:r w:rsidRPr="00510AD6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21" w:rsidRDefault="00060C21" w:rsidP="00775503">
      <w:r>
        <w:separator/>
      </w:r>
    </w:p>
  </w:footnote>
  <w:footnote w:type="continuationSeparator" w:id="1">
    <w:p w:rsidR="00060C21" w:rsidRDefault="00060C21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33FB"/>
    <w:rsid w:val="00060C21"/>
    <w:rsid w:val="00077A78"/>
    <w:rsid w:val="000B4C08"/>
    <w:rsid w:val="000F306F"/>
    <w:rsid w:val="001555E2"/>
    <w:rsid w:val="002565F5"/>
    <w:rsid w:val="00283B48"/>
    <w:rsid w:val="003856FD"/>
    <w:rsid w:val="003B2C61"/>
    <w:rsid w:val="003D5CB8"/>
    <w:rsid w:val="003F1D97"/>
    <w:rsid w:val="00452F28"/>
    <w:rsid w:val="00510AD6"/>
    <w:rsid w:val="00523348"/>
    <w:rsid w:val="006246F8"/>
    <w:rsid w:val="00652470"/>
    <w:rsid w:val="0067366B"/>
    <w:rsid w:val="006F42AF"/>
    <w:rsid w:val="00775503"/>
    <w:rsid w:val="008103AE"/>
    <w:rsid w:val="00861B30"/>
    <w:rsid w:val="008F581E"/>
    <w:rsid w:val="00942CEE"/>
    <w:rsid w:val="00976575"/>
    <w:rsid w:val="009868DE"/>
    <w:rsid w:val="009C6FF8"/>
    <w:rsid w:val="00A52360"/>
    <w:rsid w:val="00A704A1"/>
    <w:rsid w:val="00B12388"/>
    <w:rsid w:val="00B92617"/>
    <w:rsid w:val="00BA50F1"/>
    <w:rsid w:val="00BB6EFD"/>
    <w:rsid w:val="00CF7745"/>
    <w:rsid w:val="00CF77BC"/>
    <w:rsid w:val="00D11A02"/>
    <w:rsid w:val="00D31D58"/>
    <w:rsid w:val="00E66689"/>
    <w:rsid w:val="00E74143"/>
    <w:rsid w:val="00EC5866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13</cp:revision>
  <dcterms:created xsi:type="dcterms:W3CDTF">2010-10-18T16:11:00Z</dcterms:created>
  <dcterms:modified xsi:type="dcterms:W3CDTF">2011-05-10T02:52:00Z</dcterms:modified>
</cp:coreProperties>
</file>